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682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Watkins Tim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3565 GENERAL ATOMICS COURT,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Contineum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CTNM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7"/>
          <w:szCs w:val="17"/>
          <w:color w:val="0000FF"/>
        </w:rPr>
        <w:t>CMO &amp; Head of Development</w:t>
      </w:r>
    </w:p>
    <w:p>
      <w:pPr>
        <w:spacing w:after="0" w:line="312" w:lineRule="exact"/>
        <w:rPr>
          <w:sz w:val="24"/>
          <w:szCs w:val="24"/>
          <w:color w:val="auto"/>
        </w:rPr>
      </w:pPr>
    </w:p>
    <w:p>
      <w:pPr>
        <w:sectPr>
          <w:pgSz w:w="11900" w:h="16838" w:orient="portrait"/>
          <w:cols w:equalWidth="0" w:num="3">
            <w:col w:w="3500" w:space="420"/>
            <w:col w:w="3220" w:space="6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10,833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19,794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06/30/2026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10,833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16.0242</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8,961</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gridSpan w:val="2"/>
            <w:vMerge w:val="restart"/>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10,833</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06/30/2026</w:t>
            </w:r>
          </w:p>
        </w:tc>
        <w:tc>
          <w:tcPr>
            <w:tcW w:w="11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10,833</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04/27/2035</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238,334</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10b5-1 trading plan adopted by the reporting person on September 23,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$16.00 to $16.15,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8,961 shares of the Issuer's Class A Common Stock acquired by the Reporting Person in one or more transactions with the Issuer pursuant to its Employee Stock Purchase Plan, which transactions are exempt pursuant to Rules 16a3(f)(1)(i)(B) and 16b3(c).</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One-half of the option shares vested on October 28, 2025, and the remainder vests in 36 equal monthly installments thereafter, subject to the Reporting Person's continuous service.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Slover, Attorney-in-</w:t>
            </w:r>
          </w:p>
        </w:tc>
        <w:tc>
          <w:tcPr>
            <w:tcW w:w="26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5965" TargetMode="External"/><Relationship Id="rId14" Type="http://schemas.openxmlformats.org/officeDocument/2006/relationships/hyperlink" Target="http://www.sec.gov/cgi-bin/browse-edgar?action=getcompany&amp;CIK=0001855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2026-07-01T18:06:10Z</dcterms:created>
  <dcterms:modified xsi:type="dcterms:W3CDTF">2026-07-01T18:06:10Z</dcterms:modified>
</cp:coreProperties>
</file>