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813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81342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72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Stengone Carmine 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3565 GENERAL ATOMICS COURT,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Contineum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CTNM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37"/>
        <w:spacing w:after="0"/>
        <w:rPr>
          <w:sz w:val="20"/>
          <w:szCs w:val="20"/>
          <w:color w:val="auto"/>
        </w:rPr>
      </w:pPr>
      <w:r>
        <w:rPr>
          <w:rFonts w:ascii="Times New Roman" w:cs="Times New Roman" w:eastAsia="Times New Roman" w:hAnsi="Times New Roman"/>
          <w:sz w:val="17"/>
          <w:szCs w:val="17"/>
          <w:color w:val="0000FF"/>
        </w:rPr>
        <w:t>CEO and President</w:t>
      </w:r>
    </w:p>
    <w:p>
      <w:pPr>
        <w:spacing w:after="0" w:line="266" w:lineRule="exact"/>
        <w:rPr>
          <w:sz w:val="24"/>
          <w:szCs w:val="24"/>
          <w:color w:val="auto"/>
        </w:rPr>
      </w:pPr>
    </w:p>
    <w:p>
      <w:pPr>
        <w:sectPr>
          <w:pgSz w:w="11900" w:h="16838" w:orient="portrait"/>
          <w:cols w:equalWidth="0" w:num="3">
            <w:col w:w="3520" w:space="400"/>
            <w:col w:w="3240" w:space="583"/>
            <w:col w:w="3337"/>
          </w:cols>
          <w:pgMar w:left="460" w:top="216" w:right="359" w:bottom="727" w:gutter="0" w:footer="0" w:header="0"/>
          <w:type w:val="continuous"/>
        </w:sectPr>
      </w:pP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shd w:val="clear" w:color="auto" w:fill="9A9A9A"/>
          </w:tcPr>
          <w:p>
            <w:pPr>
              <w:spacing w:after="0"/>
              <w:rPr>
                <w:sz w:val="2"/>
                <w:szCs w:val="2"/>
                <w:color w:val="auto"/>
              </w:rPr>
            </w:pPr>
          </w:p>
        </w:tc>
        <w:tc>
          <w:tcPr>
            <w:tcW w:w="36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9"/>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36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92121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Borders>
              <w:top w:val="single" w:sz="8" w:color="EEEEEE"/>
            </w:tcBorders>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right"/>
              <w:ind w:right="63"/>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7,500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24,717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right"/>
              <w:ind w:right="63"/>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2,500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27,217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3"/>
          </w:tcPr>
          <w:p>
            <w:pPr>
              <w:jc w:val="right"/>
              <w:ind w:right="63"/>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10,000</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16.008</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17,217</w:t>
            </w:r>
            <w:r>
              <w:rPr>
                <w:rFonts w:ascii="Times New Roman" w:cs="Times New Roman" w:eastAsia="Times New Roman" w:hAnsi="Times New Roman"/>
                <w:sz w:val="21"/>
                <w:szCs w:val="21"/>
                <w:color w:val="008000"/>
                <w:w w:val="91"/>
                <w:vertAlign w:val="superscript"/>
              </w:rPr>
              <w:t>(3)</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jc w:val="center"/>
              <w:ind w:left="51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2"/>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jc w:val="right"/>
              <w:ind w:right="332"/>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jc w:val="right"/>
              <w:ind w:right="63"/>
              <w:spacing w:after="0" w:line="207" w:lineRule="exact"/>
              <w:rPr>
                <w:sz w:val="20"/>
                <w:szCs w:val="20"/>
                <w:color w:val="auto"/>
              </w:rPr>
            </w:pPr>
            <w:r>
              <w:rPr>
                <w:rFonts w:ascii="Times New Roman" w:cs="Times New Roman" w:eastAsia="Times New Roman" w:hAnsi="Times New Roman"/>
                <w:sz w:val="24"/>
                <w:szCs w:val="24"/>
                <w:color w:val="0000FF"/>
                <w:w w:val="88"/>
                <w:vertAlign w:val="subscript"/>
              </w:rPr>
              <w:t>M</w:t>
            </w:r>
            <w:r>
              <w:rPr>
                <w:rFonts w:ascii="Times New Roman" w:cs="Times New Roman" w:eastAsia="Times New Roman" w:hAnsi="Times New Roman"/>
                <w:sz w:val="11"/>
                <w:szCs w:val="11"/>
                <w:color w:val="008000"/>
                <w:w w:val="88"/>
              </w:rPr>
              <w:t>(1)</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7,500</w:t>
            </w: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1.01</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06/30/2026</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7,500</w:t>
            </w:r>
          </w:p>
        </w:tc>
        <w:tc>
          <w:tcPr>
            <w:tcW w:w="780" w:type="dxa"/>
            <w:vAlign w:val="bottom"/>
            <w:vMerge w:val="continue"/>
          </w:tcPr>
          <w:p>
            <w:pPr>
              <w:spacing w:after="0"/>
              <w:rPr>
                <w:sz w:val="6"/>
                <w:szCs w:val="6"/>
                <w:color w:val="auto"/>
              </w:rPr>
            </w:pPr>
          </w:p>
        </w:tc>
        <w:tc>
          <w:tcPr>
            <w:tcW w:w="7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02/24/2030</w:t>
            </w:r>
          </w:p>
        </w:tc>
        <w:tc>
          <w:tcPr>
            <w:tcW w:w="6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w w:val="99"/>
              </w:rPr>
              <w:t>281,930</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jc w:val="right"/>
              <w:ind w:right="63"/>
              <w:spacing w:after="0" w:line="207" w:lineRule="exact"/>
              <w:rPr>
                <w:sz w:val="20"/>
                <w:szCs w:val="20"/>
                <w:color w:val="auto"/>
              </w:rPr>
            </w:pPr>
            <w:r>
              <w:rPr>
                <w:rFonts w:ascii="Times New Roman" w:cs="Times New Roman" w:eastAsia="Times New Roman" w:hAnsi="Times New Roman"/>
                <w:sz w:val="24"/>
                <w:szCs w:val="24"/>
                <w:color w:val="0000FF"/>
                <w:w w:val="88"/>
                <w:vertAlign w:val="subscript"/>
              </w:rPr>
              <w:t>M</w:t>
            </w:r>
            <w:r>
              <w:rPr>
                <w:rFonts w:ascii="Times New Roman" w:cs="Times New Roman" w:eastAsia="Times New Roman" w:hAnsi="Times New Roman"/>
                <w:sz w:val="11"/>
                <w:szCs w:val="11"/>
                <w:color w:val="008000"/>
                <w:w w:val="88"/>
              </w:rPr>
              <w:t>(1)</w:t>
            </w: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2,500</w:t>
            </w: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1.26</w:t>
            </w:r>
          </w:p>
        </w:tc>
        <w:tc>
          <w:tcPr>
            <w:tcW w:w="160" w:type="dxa"/>
            <w:vAlign w:val="bottom"/>
          </w:tcPr>
          <w:p>
            <w:pPr>
              <w:spacing w:after="0"/>
              <w:rPr>
                <w:sz w:val="6"/>
                <w:szCs w:val="6"/>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06/30/2026</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2,500</w:t>
            </w:r>
          </w:p>
        </w:tc>
        <w:tc>
          <w:tcPr>
            <w:tcW w:w="780" w:type="dxa"/>
            <w:vAlign w:val="bottom"/>
            <w:vMerge w:val="continue"/>
          </w:tcPr>
          <w:p>
            <w:pPr>
              <w:spacing w:after="0"/>
              <w:rPr>
                <w:sz w:val="6"/>
                <w:szCs w:val="6"/>
                <w:color w:val="auto"/>
              </w:rPr>
            </w:pPr>
          </w:p>
        </w:tc>
        <w:tc>
          <w:tcPr>
            <w:tcW w:w="700" w:type="dxa"/>
            <w:vAlign w:val="bottom"/>
            <w:vMerge w:val="restart"/>
          </w:tcPr>
          <w:p>
            <w:pPr>
              <w:jc w:val="right"/>
              <w:spacing w:after="0" w:line="143" w:lineRule="exact"/>
              <w:rPr>
                <w:sz w:val="20"/>
                <w:szCs w:val="20"/>
                <w:color w:val="auto"/>
              </w:rPr>
            </w:pPr>
            <w:r>
              <w:rPr>
                <w:rFonts w:ascii="Times New Roman" w:cs="Times New Roman" w:eastAsia="Times New Roman" w:hAnsi="Times New Roman"/>
                <w:sz w:val="13"/>
                <w:szCs w:val="13"/>
                <w:color w:val="0000FF"/>
              </w:rPr>
              <w:t>11/13/2028</w:t>
            </w:r>
          </w:p>
        </w:tc>
        <w:tc>
          <w:tcPr>
            <w:tcW w:w="6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w w:val="94"/>
              </w:rPr>
              <w:t>118,417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-2642235</wp:posOffset>
            </wp:positionV>
            <wp:extent cx="29210" cy="2647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473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pursuant to a 10b5-1 trading plan adopted by the reporting person on September 23, 2025.</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$16.00 to $16.12, inclusive. The reporting person undertakes to provide to Issuer, any security holder of Issuer, or the staff of the Securities and Exchange Commission, upon request, full information regarding the number of shares sold at each separate price within the ranges set forth in this footnote to this Form 4.</w:t>
      </w:r>
    </w:p>
    <w:p>
      <w:pPr>
        <w:spacing w:after="0" w:line="26"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5,605 shares of the Issuer's Class A Common Stock acquired by the Reporting Person in one or more transactions with the Issuer pursuant to its Employee Stock Purchase Plan, which transactions are exempt pursuant to Rules 16a3(f)(1)(i)(B) and 16b3(c).</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Options granted under the Issuer's 2012 Equity Incentive Plan (the "Plan"). The option is fully vested.</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Peter Slover, Attorney-in-</w:t>
            </w:r>
          </w:p>
        </w:tc>
        <w:tc>
          <w:tcPr>
            <w:tcW w:w="120" w:type="dxa"/>
            <w:vAlign w:val="bottom"/>
          </w:tcPr>
          <w:p>
            <w:pPr>
              <w:spacing w:after="0"/>
              <w:rPr>
                <w:sz w:val="17"/>
                <w:szCs w:val="17"/>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72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1519" TargetMode="External"/><Relationship Id="rId14" Type="http://schemas.openxmlformats.org/officeDocument/2006/relationships/hyperlink" Target="http://www.sec.gov/cgi-bin/browse-edgar?action=getcompany&amp;CIK=0001855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2026-07-01T18:05:51Z</dcterms:created>
  <dcterms:modified xsi:type="dcterms:W3CDTF">2026-07-01T18:05:51Z</dcterms:modified>
</cp:coreProperties>
</file>