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95270.xml.htm"/>
      <w:bookmarkStart w:id="1" w:name="kswkform4_17857952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Stengone Carmine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3565 GENERAL ATOMICS COURT,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Contineum Therapeutics, Inc.</w:t>
              </w:r>
            </w:hyperlink>
            <w:r>
              <w:rPr/>
              <w:t xml:space="preserve"> [ </w:t>
            </w:r>
            <w:r>
              <w:rPr>
                <w:rFonts w:ascii="Times;serif" w:hAnsi="Times;serif"/>
                <w:color w:val="0000FF"/>
                <w:sz w:val="24"/>
                <w:shd w:fill="FFFFFF" w:val="clear"/>
              </w:rPr>
              <w:t>CTNM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19,717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16.0116</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17,217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02/24/2030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276,930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pursuant to a 10b5-1 trading plan adopted by the reporting person on September 23,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$16.00 to $16.06,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Options granted under the Issuer's 2012 Equity Incentive Plan (the "Plan"). The option is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Slover,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1519" TargetMode="External"/><Relationship Id="rId5" Type="http://schemas.openxmlformats.org/officeDocument/2006/relationships/hyperlink" Target="http://www.sec.gov/cgi-bin/browse-edgar?action=getcompany&amp;CIK=0001855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3826</Characters>
  <CharactersWithSpaces>4447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