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Contineum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2,335,550.00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7.14 %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2,335,550.00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2,335,550.00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2,335,550.00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2,335,550.00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2,335,550.00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Contineum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3565 General Atomics Court, Suite 200,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the 2,335,550 shares of Class A common stock, par value $0.001 per share ("Shares"), reported herein, BAM may be deemed to exercise voting and investment power over such Shares held by ADMF and thus may be deemed to beneficially own such Shares. By virtue of its position as the General Partner of BAM, BAM GP may be deemed to exercise voting and investment power over the Shares held directly by ADMF and thus may be deemed to beneficially own such Shares. By virtue of its position as the Sole Member of BAM GP, BAM Holdings may be deemed to exercise voting and investment power over the Shares held directly by ADMF and thus may be deemed to beneficially own such Shares. By virtue of its position as the General Partner of BAM Holdings, Dames may be deemed to exercise voting and investment power over the Shares held directly by ADMF and thus may be deemed to beneficially own such Shares. By virtue of his position as the Managing Member of Dames, Mr. Balyasny may be deemed to exercise voting and investment power over the Shares held directly by ADMF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7.14% of the Shares, based on 32,723,877 Shares of Class A common stock outstanding as of April 30, 2026 as reported in the Issuer's 10-Q filed with the Securities and Exchange Commission on May 5, 2026.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2335550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2335550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is a Cayman Islands exempted company that is an investment management client of BAM, and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1828</Words>
  <Characters>9253</Characters>
  <CharactersWithSpaces>10991</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